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Spacing w:w="0" w:type="dxa"/>
        <w:tblInd w:w="-792" w:type="dxa"/>
        <w:tblCellMar>
          <w:left w:w="0" w:type="dxa"/>
          <w:right w:w="0" w:type="dxa"/>
        </w:tblCellMar>
        <w:tblLook w:val="04A0" w:firstRow="1" w:lastRow="0" w:firstColumn="1" w:lastColumn="0" w:noHBand="0" w:noVBand="1"/>
      </w:tblPr>
      <w:tblGrid>
        <w:gridCol w:w="3528"/>
        <w:gridCol w:w="6120"/>
      </w:tblGrid>
      <w:tr w:rsidR="00397D9B" w:rsidRPr="00397D9B" w:rsidTr="00397D9B">
        <w:trPr>
          <w:tblCellSpacing w:w="0" w:type="dxa"/>
        </w:trPr>
        <w:tc>
          <w:tcPr>
            <w:tcW w:w="3528" w:type="dxa"/>
            <w:tcMar>
              <w:top w:w="0" w:type="dxa"/>
              <w:left w:w="108" w:type="dxa"/>
              <w:bottom w:w="0" w:type="dxa"/>
              <w:right w:w="108" w:type="dxa"/>
            </w:tcMar>
            <w:hideMark/>
          </w:tcPr>
          <w:p w:rsidR="00397D9B" w:rsidRPr="00397D9B" w:rsidRDefault="00397D9B" w:rsidP="00397D9B">
            <w:pPr>
              <w:spacing w:before="100" w:beforeAutospacing="1" w:after="120"/>
              <w:jc w:val="center"/>
            </w:pPr>
            <w:r w:rsidRPr="00397D9B">
              <w:rPr>
                <w:b/>
                <w:bCs/>
              </w:rPr>
              <w:t>HỘI ĐỒNG NHÂN DÂN</w:t>
            </w:r>
            <w:r w:rsidRPr="00397D9B">
              <w:rPr>
                <w:b/>
                <w:bCs/>
              </w:rPr>
              <w:br/>
              <w:t>THÀNH PHỐ HỒ CHÍ MINH</w:t>
            </w:r>
            <w:r w:rsidRPr="00397D9B">
              <w:rPr>
                <w:b/>
                <w:bCs/>
              </w:rPr>
              <w:br/>
              <w:t>-------</w:t>
            </w:r>
          </w:p>
        </w:tc>
        <w:tc>
          <w:tcPr>
            <w:tcW w:w="6120" w:type="dxa"/>
            <w:tcMar>
              <w:top w:w="0" w:type="dxa"/>
              <w:left w:w="108" w:type="dxa"/>
              <w:bottom w:w="0" w:type="dxa"/>
              <w:right w:w="108" w:type="dxa"/>
            </w:tcMar>
            <w:hideMark/>
          </w:tcPr>
          <w:p w:rsidR="00397D9B" w:rsidRPr="00397D9B" w:rsidRDefault="00397D9B" w:rsidP="00397D9B">
            <w:pPr>
              <w:spacing w:before="100" w:beforeAutospacing="1" w:after="120"/>
              <w:jc w:val="center"/>
            </w:pPr>
            <w:r w:rsidRPr="00397D9B">
              <w:rPr>
                <w:b/>
                <w:bCs/>
              </w:rPr>
              <w:t>CỘNG HÒA XÃ HỘI CHỦ NGHĨA VIỆT NAM</w:t>
            </w:r>
            <w:r w:rsidRPr="00397D9B">
              <w:rPr>
                <w:b/>
                <w:bCs/>
              </w:rPr>
              <w:br/>
              <w:t>Độc lập - Tự do - Hạnh phúc</w:t>
            </w:r>
            <w:r w:rsidRPr="00397D9B">
              <w:rPr>
                <w:b/>
                <w:bCs/>
              </w:rPr>
              <w:br/>
              <w:t>---------</w:t>
            </w:r>
          </w:p>
        </w:tc>
      </w:tr>
      <w:tr w:rsidR="00397D9B" w:rsidRPr="00397D9B" w:rsidTr="00397D9B">
        <w:trPr>
          <w:tblCellSpacing w:w="0" w:type="dxa"/>
        </w:trPr>
        <w:tc>
          <w:tcPr>
            <w:tcW w:w="3528" w:type="dxa"/>
            <w:tcMar>
              <w:top w:w="0" w:type="dxa"/>
              <w:left w:w="108" w:type="dxa"/>
              <w:bottom w:w="0" w:type="dxa"/>
              <w:right w:w="108" w:type="dxa"/>
            </w:tcMar>
            <w:hideMark/>
          </w:tcPr>
          <w:p w:rsidR="00397D9B" w:rsidRPr="00397D9B" w:rsidRDefault="00397D9B" w:rsidP="00397D9B">
            <w:pPr>
              <w:spacing w:before="100" w:beforeAutospacing="1" w:after="120"/>
              <w:jc w:val="center"/>
            </w:pPr>
            <w:r w:rsidRPr="00397D9B">
              <w:t>Số: 35/2009/NQ-HĐND</w:t>
            </w:r>
          </w:p>
        </w:tc>
        <w:tc>
          <w:tcPr>
            <w:tcW w:w="6120" w:type="dxa"/>
            <w:tcMar>
              <w:top w:w="0" w:type="dxa"/>
              <w:left w:w="108" w:type="dxa"/>
              <w:bottom w:w="0" w:type="dxa"/>
              <w:right w:w="108" w:type="dxa"/>
            </w:tcMar>
            <w:hideMark/>
          </w:tcPr>
          <w:p w:rsidR="00397D9B" w:rsidRPr="00397D9B" w:rsidRDefault="00397D9B" w:rsidP="00397D9B">
            <w:pPr>
              <w:spacing w:before="100" w:beforeAutospacing="1" w:after="120"/>
              <w:jc w:val="center"/>
            </w:pPr>
            <w:r w:rsidRPr="00397D9B">
              <w:rPr>
                <w:i/>
                <w:iCs/>
              </w:rPr>
              <w:t>TP. Hồ Chí Minh, ngày 09 tháng 12 năm 2009</w:t>
            </w:r>
          </w:p>
        </w:tc>
      </w:tr>
    </w:tbl>
    <w:p w:rsidR="00397D9B" w:rsidRPr="00397D9B" w:rsidRDefault="00397D9B" w:rsidP="00397D9B">
      <w:pPr>
        <w:spacing w:before="100" w:beforeAutospacing="1" w:after="120"/>
        <w:jc w:val="center"/>
      </w:pPr>
    </w:p>
    <w:p w:rsidR="00397D9B" w:rsidRPr="00397D9B" w:rsidRDefault="00397D9B" w:rsidP="00397D9B">
      <w:pPr>
        <w:spacing w:before="100" w:beforeAutospacing="1" w:after="120"/>
        <w:jc w:val="center"/>
      </w:pPr>
      <w:r w:rsidRPr="00397D9B">
        <w:rPr>
          <w:b/>
          <w:bCs/>
        </w:rPr>
        <w:t>NGHỊ QUYẾT</w:t>
      </w:r>
    </w:p>
    <w:p w:rsidR="00397D9B" w:rsidRPr="00397D9B" w:rsidRDefault="00397D9B" w:rsidP="00397D9B">
      <w:pPr>
        <w:spacing w:before="100" w:beforeAutospacing="1" w:after="120"/>
        <w:jc w:val="center"/>
      </w:pPr>
      <w:r w:rsidRPr="00397D9B">
        <w:t xml:space="preserve">VỀ VIỆC THU PHÍ THAM QUAN KHU DI TÍCH LỊCH SỬ ĐỊA ĐẠO CỦ CHI </w:t>
      </w:r>
    </w:p>
    <w:p w:rsidR="00397D9B" w:rsidRPr="00397D9B" w:rsidRDefault="00397D9B" w:rsidP="00397D9B">
      <w:pPr>
        <w:spacing w:before="100" w:beforeAutospacing="1" w:after="120"/>
        <w:jc w:val="center"/>
      </w:pPr>
      <w:r w:rsidRPr="00397D9B">
        <w:rPr>
          <w:b/>
          <w:bCs/>
        </w:rPr>
        <w:t>HỘI ĐỒNG NHÂN DÂN THÀNH PHỐ HỒ CHÍ MINH</w:t>
      </w:r>
      <w:r w:rsidRPr="00397D9B">
        <w:rPr>
          <w:b/>
          <w:bCs/>
        </w:rPr>
        <w:br/>
        <w:t>KHÓA VII, KỲ HỌP THỨ 17</w:t>
      </w:r>
    </w:p>
    <w:p w:rsidR="00397D9B" w:rsidRPr="00397D9B" w:rsidRDefault="00397D9B" w:rsidP="00397D9B">
      <w:pPr>
        <w:spacing w:before="100" w:beforeAutospacing="1" w:after="120"/>
        <w:jc w:val="center"/>
      </w:pPr>
      <w:r w:rsidRPr="00397D9B">
        <w:t>(Từ ngày 08 đến ngày 11 tháng 12 năm 2009)</w:t>
      </w:r>
    </w:p>
    <w:p w:rsidR="00397D9B" w:rsidRDefault="00397D9B" w:rsidP="00397D9B">
      <w:pPr>
        <w:spacing w:before="100" w:beforeAutospacing="1" w:after="120"/>
        <w:jc w:val="both"/>
        <w:rPr>
          <w:i/>
          <w:iCs/>
        </w:rPr>
      </w:pPr>
      <w:r w:rsidRPr="00397D9B">
        <w:rPr>
          <w:i/>
          <w:iCs/>
        </w:rPr>
        <w:t>Căn cứ Luật Tổ chức Hội đồng nhân dân và Ủy ban nhân dân ngày 26 tháng 11 năm 2003</w:t>
      </w:r>
      <w:proofErr w:type="gramStart"/>
      <w:r w:rsidRPr="00397D9B">
        <w:rPr>
          <w:i/>
          <w:iCs/>
        </w:rPr>
        <w:t>;</w:t>
      </w:r>
      <w:proofErr w:type="gramEnd"/>
      <w:r w:rsidRPr="00397D9B">
        <w:rPr>
          <w:i/>
          <w:iCs/>
        </w:rPr>
        <w:br/>
        <w:t xml:space="preserve">Căn cứ Nghị quyết số 25/2008/QH12 ngày 14 tháng 11 năm 2008 của Quốc hội về việc kéo dài nhiệm kỳ hoạt động 2004 - 2009 của Hội đồng nhân dân và Ủy ban nhân dân các cấp; </w:t>
      </w:r>
      <w:r w:rsidRPr="00397D9B">
        <w:rPr>
          <w:i/>
          <w:iCs/>
        </w:rPr>
        <w:br/>
        <w:t>Căn cứ Pháp lệnh số 38/2001/PL-UBTVQH10 ngày 28 tháng 8 năm 2001 của Ủy ban Thường vụ Quốc hội về phí và lệ phí;</w:t>
      </w:r>
    </w:p>
    <w:p w:rsidR="00397D9B" w:rsidRDefault="00397D9B" w:rsidP="00397D9B">
      <w:pPr>
        <w:spacing w:before="100" w:beforeAutospacing="1" w:after="120"/>
        <w:jc w:val="both"/>
        <w:rPr>
          <w:i/>
          <w:iCs/>
        </w:rPr>
      </w:pPr>
      <w:r w:rsidRPr="00397D9B">
        <w:rPr>
          <w:i/>
          <w:iCs/>
        </w:rPr>
        <w:t>Căn cứ Nghị định số 57/2002/NĐ-CP ngày 03 tháng 6 năm 2002 của Chính phủ quy định chi tiết thi hành Pháp lệnh Phí và lệ phí;</w:t>
      </w:r>
    </w:p>
    <w:p w:rsidR="00397D9B" w:rsidRDefault="00397D9B" w:rsidP="00397D9B">
      <w:pPr>
        <w:spacing w:before="100" w:beforeAutospacing="1" w:after="120"/>
        <w:jc w:val="both"/>
        <w:rPr>
          <w:i/>
          <w:iCs/>
        </w:rPr>
      </w:pPr>
      <w:r w:rsidRPr="00397D9B">
        <w:rPr>
          <w:i/>
          <w:iCs/>
        </w:rPr>
        <w:t>Căn cứ Nghị định số 24/2006/NĐ-CP ngày 06 tháng 3 năm 2006 của Chính phủ về sửa đổi, bổ sung một số điều của Nghị định số 57/2002/NĐ-CP ngày 03 tháng 6 năm 2002 của Chính phủ quy định chi tiết thi hành Pháp lệnh Phí và lệ phí;</w:t>
      </w:r>
    </w:p>
    <w:p w:rsidR="00397D9B" w:rsidRDefault="00397D9B" w:rsidP="00397D9B">
      <w:pPr>
        <w:spacing w:before="100" w:beforeAutospacing="1" w:after="120"/>
        <w:jc w:val="both"/>
        <w:rPr>
          <w:i/>
          <w:iCs/>
        </w:rPr>
      </w:pPr>
      <w:r w:rsidRPr="00397D9B">
        <w:rPr>
          <w:i/>
          <w:iCs/>
        </w:rPr>
        <w:t>Căn cứ Thông tư số 97/2006/TT-BTC ngày 16 tháng 10 năm 2006 của Bộ Tài chính hướng dẫn về phí và lệ phí thuộc thẩm quyền quyết định của Hội đồng nhân dân tỉnh, thành phố trực thuộc Trung ương;</w:t>
      </w:r>
    </w:p>
    <w:p w:rsidR="00397D9B" w:rsidRPr="00397D9B" w:rsidRDefault="00397D9B" w:rsidP="00397D9B">
      <w:pPr>
        <w:spacing w:before="100" w:beforeAutospacing="1" w:after="120"/>
        <w:jc w:val="both"/>
      </w:pPr>
      <w:r w:rsidRPr="00397D9B">
        <w:rPr>
          <w:i/>
          <w:iCs/>
        </w:rPr>
        <w:t>Xét Tờ trình số 6372/TTr-UBND ngày 03 tháng 12 năm 2009 và Tờ trình số 6432/TTr-UBND ngày 07 tháng 12 năm 2009 của Ủy ban nhân dân thành phố về việc thu phí tham quan Khu Di tích Lịch sử Địa đạo Củ Chi; Báo cáo thẩm tra số 395/BCTT-KTNS ngày 05 tháng 12 năm 2009 của Ban Kinh tế và Ngân sách; ý kiến của đại biểu Hội đồng nhân dân thành phố,</w:t>
      </w:r>
    </w:p>
    <w:p w:rsidR="00397D9B" w:rsidRPr="00397D9B" w:rsidRDefault="00397D9B" w:rsidP="00397D9B">
      <w:pPr>
        <w:spacing w:before="100" w:beforeAutospacing="1" w:after="120"/>
        <w:jc w:val="center"/>
      </w:pPr>
      <w:r w:rsidRPr="00397D9B">
        <w:rPr>
          <w:b/>
          <w:bCs/>
        </w:rPr>
        <w:t>QUYẾT NGHỊ:</w:t>
      </w:r>
    </w:p>
    <w:p w:rsidR="00397D9B" w:rsidRPr="00397D9B" w:rsidRDefault="00397D9B" w:rsidP="00397D9B">
      <w:pPr>
        <w:spacing w:before="100" w:beforeAutospacing="1" w:after="120"/>
      </w:pPr>
      <w:proofErr w:type="gramStart"/>
      <w:r w:rsidRPr="00397D9B">
        <w:rPr>
          <w:b/>
          <w:bCs/>
        </w:rPr>
        <w:t>Điều 1.</w:t>
      </w:r>
      <w:proofErr w:type="gramEnd"/>
      <w:r w:rsidRPr="00397D9B">
        <w:rPr>
          <w:b/>
          <w:bCs/>
        </w:rPr>
        <w:t xml:space="preserve"> </w:t>
      </w:r>
      <w:r w:rsidRPr="00397D9B">
        <w:t>Thông qua nội dung Tờ trình số 6432/TTr-UBND ngày 07 tháng 12 năm 2009 của Ủy ban nhân dân thành phố về việc thu phí tham quan Khu Di tích Lịch sử Địa đạo Củ Chi; cụ thể như sau:</w:t>
      </w:r>
    </w:p>
    <w:p w:rsidR="00397D9B" w:rsidRPr="00397D9B" w:rsidRDefault="00397D9B" w:rsidP="00397D9B">
      <w:pPr>
        <w:spacing w:before="100" w:beforeAutospacing="1" w:after="120"/>
      </w:pPr>
      <w:r w:rsidRPr="00397D9B">
        <w:t xml:space="preserve">1. Mức </w:t>
      </w:r>
      <w:proofErr w:type="gramStart"/>
      <w:r w:rsidRPr="00397D9B">
        <w:t>thu</w:t>
      </w:r>
      <w:proofErr w:type="gramEnd"/>
      <w:r w:rsidRPr="00397D9B">
        <w:t>:</w:t>
      </w:r>
    </w:p>
    <w:p w:rsidR="00397D9B" w:rsidRPr="00397D9B" w:rsidRDefault="00397D9B" w:rsidP="00397D9B">
      <w:pPr>
        <w:spacing w:before="100" w:beforeAutospacing="1" w:after="120"/>
      </w:pPr>
      <w:r w:rsidRPr="00397D9B">
        <w:t xml:space="preserve">- Mức </w:t>
      </w:r>
      <w:proofErr w:type="gramStart"/>
      <w:r w:rsidRPr="00397D9B">
        <w:t>thu</w:t>
      </w:r>
      <w:proofErr w:type="gramEnd"/>
      <w:r w:rsidRPr="00397D9B">
        <w:t xml:space="preserve"> phí đối với người lớn là 20.000 đồng/lần/người.</w:t>
      </w:r>
    </w:p>
    <w:p w:rsidR="00397D9B" w:rsidRPr="00397D9B" w:rsidRDefault="00397D9B" w:rsidP="00397D9B">
      <w:pPr>
        <w:spacing w:before="100" w:beforeAutospacing="1" w:after="120"/>
      </w:pPr>
      <w:bookmarkStart w:id="0" w:name="_GoBack"/>
      <w:bookmarkEnd w:id="0"/>
      <w:r w:rsidRPr="00397D9B">
        <w:lastRenderedPageBreak/>
        <w:t xml:space="preserve">- Không </w:t>
      </w:r>
      <w:proofErr w:type="gramStart"/>
      <w:r w:rsidRPr="00397D9B">
        <w:t>thu</w:t>
      </w:r>
      <w:proofErr w:type="gramEnd"/>
      <w:r w:rsidRPr="00397D9B">
        <w:t xml:space="preserve"> phí đối với lực lượng vũ trang, trẻ em (dưới 15 tuổi), học sinh, sinh viên, người tàn tật. </w:t>
      </w:r>
    </w:p>
    <w:p w:rsidR="00397D9B" w:rsidRPr="00397D9B" w:rsidRDefault="00397D9B" w:rsidP="00397D9B">
      <w:pPr>
        <w:spacing w:before="100" w:beforeAutospacing="1" w:after="120"/>
      </w:pPr>
      <w:r w:rsidRPr="00397D9B">
        <w:t>2. Việc quản lý và sử dụng số tiền phí thu được: Khu Di tích Lịch sử Địa đạo Củ Chi được giữ lại 100% số tiền phí tham quan thu được để chi theo quy định tại Thông tư số 45/2006/TT-BTC ngày 25 tháng 5 năm 2006 của Bộ Tài chính về sửa đổi, bổ sung Thông tư số 63/2002/TT-BTC ngày 24 tháng 7 năm 2002 của Bộ Tài chính hướng dẫn các quy định pháp luật về phí và lệ phí.</w:t>
      </w:r>
    </w:p>
    <w:p w:rsidR="00397D9B" w:rsidRPr="00397D9B" w:rsidRDefault="00397D9B" w:rsidP="00397D9B">
      <w:pPr>
        <w:spacing w:before="100" w:beforeAutospacing="1" w:after="120"/>
      </w:pPr>
      <w:r w:rsidRPr="00397D9B">
        <w:t>3. Thời gian thực hiện: từ ngày 01 tháng 01 năm 2010.</w:t>
      </w:r>
    </w:p>
    <w:p w:rsidR="00397D9B" w:rsidRPr="00397D9B" w:rsidRDefault="00397D9B" w:rsidP="00397D9B">
      <w:pPr>
        <w:spacing w:before="100" w:beforeAutospacing="1" w:after="120"/>
      </w:pPr>
      <w:proofErr w:type="gramStart"/>
      <w:r w:rsidRPr="00397D9B">
        <w:rPr>
          <w:b/>
          <w:bCs/>
        </w:rPr>
        <w:t>Điều 2.</w:t>
      </w:r>
      <w:proofErr w:type="gramEnd"/>
      <w:r w:rsidRPr="00397D9B">
        <w:rPr>
          <w:b/>
          <w:bCs/>
        </w:rPr>
        <w:t xml:space="preserve"> </w:t>
      </w:r>
      <w:r w:rsidRPr="00397D9B">
        <w:t>Giao Ủy ban nhân dân thành phố có kế hoạch tổ chức thực hiện Nghị quyết này.</w:t>
      </w:r>
    </w:p>
    <w:p w:rsidR="00397D9B" w:rsidRPr="00397D9B" w:rsidRDefault="00397D9B" w:rsidP="00397D9B">
      <w:pPr>
        <w:spacing w:before="100" w:beforeAutospacing="1" w:after="120"/>
      </w:pPr>
      <w:r w:rsidRPr="00397D9B">
        <w:t>Nghị quyết này đã được Hội đồng nhân dân thành phố Hồ Chí Minh khóa VII, kỳ họp thứ 17 thông qua ngày 09 tháng 12 năm 2009./.</w:t>
      </w:r>
    </w:p>
    <w:p w:rsidR="00397D9B" w:rsidRPr="00397D9B" w:rsidRDefault="00397D9B" w:rsidP="00397D9B">
      <w:pPr>
        <w:spacing w:before="100" w:beforeAutospacing="1" w:after="120"/>
      </w:pPr>
      <w:r w:rsidRPr="00397D9B">
        <w:t> </w:t>
      </w:r>
    </w:p>
    <w:tbl>
      <w:tblPr>
        <w:tblW w:w="0" w:type="auto"/>
        <w:tblCellSpacing w:w="0" w:type="dxa"/>
        <w:tblCellMar>
          <w:left w:w="0" w:type="dxa"/>
          <w:right w:w="0" w:type="dxa"/>
        </w:tblCellMar>
        <w:tblLook w:val="04A0" w:firstRow="1" w:lastRow="0" w:firstColumn="1" w:lastColumn="0" w:noHBand="0" w:noVBand="1"/>
      </w:tblPr>
      <w:tblGrid>
        <w:gridCol w:w="3528"/>
        <w:gridCol w:w="5328"/>
      </w:tblGrid>
      <w:tr w:rsidR="00397D9B" w:rsidRPr="00397D9B" w:rsidTr="00397D9B">
        <w:trPr>
          <w:tblCellSpacing w:w="0" w:type="dxa"/>
        </w:trPr>
        <w:tc>
          <w:tcPr>
            <w:tcW w:w="3528" w:type="dxa"/>
            <w:tcMar>
              <w:top w:w="0" w:type="dxa"/>
              <w:left w:w="108" w:type="dxa"/>
              <w:bottom w:w="0" w:type="dxa"/>
              <w:right w:w="108" w:type="dxa"/>
            </w:tcMar>
            <w:hideMark/>
          </w:tcPr>
          <w:p w:rsidR="00397D9B" w:rsidRPr="00397D9B" w:rsidRDefault="00397D9B">
            <w:pPr>
              <w:spacing w:before="100" w:beforeAutospacing="1" w:after="120"/>
            </w:pPr>
            <w:r w:rsidRPr="00397D9B">
              <w:t> </w:t>
            </w:r>
          </w:p>
        </w:tc>
        <w:tc>
          <w:tcPr>
            <w:tcW w:w="5328" w:type="dxa"/>
            <w:tcMar>
              <w:top w:w="0" w:type="dxa"/>
              <w:left w:w="108" w:type="dxa"/>
              <w:bottom w:w="0" w:type="dxa"/>
              <w:right w:w="108" w:type="dxa"/>
            </w:tcMar>
            <w:hideMark/>
          </w:tcPr>
          <w:p w:rsidR="00397D9B" w:rsidRPr="00397D9B" w:rsidRDefault="00397D9B">
            <w:pPr>
              <w:spacing w:before="100" w:beforeAutospacing="1" w:after="120"/>
              <w:jc w:val="center"/>
            </w:pPr>
            <w:r w:rsidRPr="00397D9B">
              <w:rPr>
                <w:b/>
                <w:bCs/>
              </w:rPr>
              <w:t>CHỦ TỊCH</w:t>
            </w:r>
            <w:r w:rsidRPr="00397D9B">
              <w:rPr>
                <w:b/>
                <w:bCs/>
              </w:rPr>
              <w:br/>
            </w:r>
            <w:r w:rsidRPr="00397D9B">
              <w:rPr>
                <w:b/>
                <w:bCs/>
              </w:rPr>
              <w:br/>
            </w:r>
            <w:r w:rsidRPr="00397D9B">
              <w:rPr>
                <w:b/>
                <w:bCs/>
              </w:rPr>
              <w:br/>
            </w:r>
            <w:r w:rsidRPr="00397D9B">
              <w:rPr>
                <w:b/>
                <w:bCs/>
              </w:rPr>
              <w:br/>
            </w:r>
            <w:r w:rsidRPr="00397D9B">
              <w:rPr>
                <w:b/>
                <w:bCs/>
              </w:rPr>
              <w:br/>
              <w:t>Phạm Phương Thảo</w:t>
            </w:r>
          </w:p>
        </w:tc>
      </w:tr>
    </w:tbl>
    <w:p w:rsidR="003012C8" w:rsidRPr="00397D9B" w:rsidRDefault="003012C8"/>
    <w:sectPr w:rsidR="003012C8" w:rsidRPr="00397D9B" w:rsidSect="00397D9B">
      <w:pgSz w:w="12240" w:h="15840"/>
      <w:pgMar w:top="63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B0"/>
    <w:rsid w:val="003012C8"/>
    <w:rsid w:val="00397D9B"/>
    <w:rsid w:val="00747AEC"/>
    <w:rsid w:val="00A37AB0"/>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EFB39-F5D3-4DFA-9C4B-7403EAAE1B5F}"/>
</file>

<file path=customXml/itemProps2.xml><?xml version="1.0" encoding="utf-8"?>
<ds:datastoreItem xmlns:ds="http://schemas.openxmlformats.org/officeDocument/2006/customXml" ds:itemID="{45B83B47-59CF-4DF0-A84F-848D61A0FBF8}"/>
</file>

<file path=customXml/itemProps3.xml><?xml version="1.0" encoding="utf-8"?>
<ds:datastoreItem xmlns:ds="http://schemas.openxmlformats.org/officeDocument/2006/customXml" ds:itemID="{30DB91E5-568A-4571-A2C9-BFD208AA97F2}"/>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2272</Characters>
  <Application>Microsoft Office Word</Application>
  <DocSecurity>0</DocSecurity>
  <Lines>18</Lines>
  <Paragraphs>5</Paragraphs>
  <ScaleCrop>false</ScaleCrop>
  <Company>VN</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2015-05-28T03:40:00Z</dcterms:created>
  <dcterms:modified xsi:type="dcterms:W3CDTF">2015-05-28T03:42:00Z</dcterms:modified>
</cp:coreProperties>
</file>